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80" w:rsidRPr="00823252" w:rsidRDefault="00A07C80" w:rsidP="00A07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Al-Farabi Kazakh National University</w:t>
      </w:r>
    </w:p>
    <w:p w:rsidR="00A07C80" w:rsidRPr="00823252" w:rsidRDefault="00A07C80" w:rsidP="00A07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Higher School of Economics and Business</w:t>
      </w:r>
    </w:p>
    <w:p w:rsidR="00A07C80" w:rsidRPr="00823252" w:rsidRDefault="00A07C80" w:rsidP="00A07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Department of Finance and Accounting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A07C80" w:rsidRPr="001219CF" w:rsidTr="00B42269">
        <w:trPr>
          <w:trHeight w:val="232"/>
        </w:trPr>
        <w:tc>
          <w:tcPr>
            <w:tcW w:w="10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METHODOLOGICAL RECOMMENDATIONS AND PROGRAM FOR THE FINAL EXAM</w:t>
            </w: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</w:t>
            </w: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IN THE DISCIPLINE</w:t>
            </w:r>
          </w:p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</w:p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ru-RU"/>
              </w:rPr>
              <w:t>CF 4305</w:t>
            </w: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«</w:t>
            </w:r>
            <w:r w:rsidRPr="00121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INTERNATIONAL TAXATION</w:t>
            </w:r>
            <w:r w:rsidRPr="00121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»</w:t>
            </w:r>
          </w:p>
        </w:tc>
      </w:tr>
      <w:tr w:rsidR="00A07C80" w:rsidRPr="001219CF" w:rsidTr="00B42269">
        <w:tc>
          <w:tcPr>
            <w:tcW w:w="100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C80" w:rsidRPr="001219CF" w:rsidRDefault="00A07C80" w:rsidP="00B422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7C80" w:rsidRPr="001219CF" w:rsidTr="00B42269">
        <w:tc>
          <w:tcPr>
            <w:tcW w:w="100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(name of the discipline according to the curriculum)</w:t>
            </w:r>
          </w:p>
        </w:tc>
      </w:tr>
      <w:tr w:rsidR="00A07C80" w:rsidRPr="001219CF" w:rsidTr="00B42269">
        <w:trPr>
          <w:trHeight w:val="193"/>
        </w:trPr>
        <w:tc>
          <w:tcPr>
            <w:tcW w:w="100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C80" w:rsidRPr="001219CF" w:rsidRDefault="00A07C80" w:rsidP="00B42269">
            <w:pPr>
              <w:spacing w:after="0" w:line="19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A07C80" w:rsidRPr="001219CF" w:rsidTr="00B42269">
        <w:tc>
          <w:tcPr>
            <w:tcW w:w="100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curriculum</w:t>
            </w:r>
            <w:proofErr w:type="spellEnd"/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code</w:t>
            </w:r>
            <w:proofErr w:type="spellEnd"/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C80" w:rsidRPr="001219CF" w:rsidTr="00B42269">
        <w:trPr>
          <w:trHeight w:val="138"/>
        </w:trPr>
        <w:tc>
          <w:tcPr>
            <w:tcW w:w="100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C80" w:rsidRPr="001219CF" w:rsidRDefault="001219CF" w:rsidP="00B42269">
            <w:pPr>
              <w:spacing w:after="0" w:line="13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Master</w:t>
            </w:r>
            <w:r w:rsidR="00A07C80" w:rsidRPr="0012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in  </w:t>
            </w:r>
            <w:r w:rsidRPr="00121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7M04117</w:t>
            </w:r>
            <w:r w:rsidRPr="001219C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="00A07C80" w:rsidRPr="001219C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en-US"/>
              </w:rPr>
              <w:t>“</w:t>
            </w:r>
            <w:r w:rsidRPr="001219C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Accounting and auditing</w:t>
            </w:r>
            <w:r w:rsidRPr="001219C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en-US"/>
              </w:rPr>
              <w:t>”</w:t>
            </w:r>
          </w:p>
        </w:tc>
      </w:tr>
      <w:tr w:rsidR="00A07C80" w:rsidRPr="001219CF" w:rsidTr="00B42269">
        <w:tc>
          <w:tcPr>
            <w:tcW w:w="100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1219CF" w:rsidRDefault="00A07C80" w:rsidP="00B4226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1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(code and name of the educational program in the framework of which the discipline is implemented)</w:t>
            </w:r>
          </w:p>
        </w:tc>
      </w:tr>
    </w:tbl>
    <w:p w:rsidR="00A07C80" w:rsidRPr="001219CF" w:rsidRDefault="00A07C80" w:rsidP="00A07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1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07C80" w:rsidRPr="001219CF" w:rsidRDefault="00A07C80" w:rsidP="00A07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1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 </w:t>
      </w:r>
    </w:p>
    <w:p w:rsidR="00A07C80" w:rsidRPr="00CF30A4" w:rsidRDefault="00A07C80" w:rsidP="00A07C8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Almaty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799"/>
      </w:tblGrid>
      <w:tr w:rsidR="00A07C80" w:rsidRPr="001219CF" w:rsidTr="00B42269"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823252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07C80" w:rsidRPr="00823252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7C80" w:rsidRPr="00823252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7C80" w:rsidRPr="00823252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Compiled</w:t>
            </w:r>
            <w:proofErr w:type="spellEnd"/>
            <w:r w:rsidRPr="0099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99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F16F8E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6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07C80" w:rsidRPr="00F16F8E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6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07C80" w:rsidRPr="00F16F8E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6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07C80" w:rsidRPr="00F16F8E" w:rsidRDefault="00A07C80" w:rsidP="00B4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Doszhan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</w:t>
            </w:r>
            <w:r w:rsidRPr="00F16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A07C80" w:rsidRPr="00F16F8E" w:rsidRDefault="00A07C80" w:rsidP="00B4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PhD, associate professor</w:t>
            </w:r>
            <w:r w:rsidRPr="00F16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Department of Finance and Accounting</w:t>
            </w:r>
          </w:p>
        </w:tc>
      </w:tr>
      <w:tr w:rsidR="00A07C80" w:rsidRPr="001219CF" w:rsidTr="00B42269"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823252" w:rsidRDefault="00A07C80" w:rsidP="00B422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823252" w:rsidRDefault="00A07C80" w:rsidP="00B4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7C80" w:rsidRPr="001219CF" w:rsidTr="00B42269"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823252" w:rsidRDefault="00A07C80" w:rsidP="00B42269">
            <w:pPr>
              <w:spacing w:after="0" w:line="25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3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79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80" w:rsidRPr="00823252" w:rsidRDefault="00A07C80" w:rsidP="00B42269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325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A07C80" w:rsidRPr="00823252" w:rsidRDefault="00A07C80" w:rsidP="00A07C80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52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52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52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  <w:r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</w:p>
    <w:p w:rsidR="00A07C80" w:rsidRPr="00823252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52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252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program for the final exam in the </w:t>
      </w:r>
      <w:r w:rsidRPr="003243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discipline</w:t>
      </w:r>
      <w:r w:rsidRPr="00992E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"</w:t>
      </w:r>
      <w:r w:rsidRPr="00563E9F">
        <w:rPr>
          <w:sz w:val="24"/>
          <w:szCs w:val="24"/>
          <w:lang w:val="en-US"/>
        </w:rPr>
        <w:t>INTERNATIONAL TAXATION</w:t>
      </w:r>
      <w:r w:rsidRPr="00992E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" </w:t>
      </w:r>
      <w:r w:rsidRPr="00992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 reviewed and approved at a meeting of the department "Finance and Accounting"</w:t>
      </w:r>
      <w:r w:rsidRPr="008232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A07C80" w:rsidRPr="00823252" w:rsidRDefault="00A07C80" w:rsidP="00A0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07C80" w:rsidRPr="00823252" w:rsidRDefault="00A07C80" w:rsidP="00A0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0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Protocol № 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_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  <w:t>5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__ from "_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ru-RU"/>
        </w:rPr>
        <w:t>17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_" _</w:t>
      </w:r>
      <w:r w:rsidRPr="00E912C0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kk-KZ" w:eastAsia="ru-RU"/>
        </w:rPr>
        <w:t>11</w:t>
      </w:r>
      <w:r w:rsidRPr="00670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 </w:t>
      </w:r>
      <w:r w:rsidRPr="0067045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20</w:t>
      </w:r>
      <w:r w:rsidRPr="00EE629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</w:t>
      </w:r>
      <w:r w:rsidRPr="00670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07C80" w:rsidRPr="0067045A" w:rsidRDefault="00A07C80" w:rsidP="00A07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0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Default="00A07C80" w:rsidP="00A07C80">
      <w:pPr>
        <w:ind w:firstLine="709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D02779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67045A" w:rsidRDefault="00A07C80" w:rsidP="00A07C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Default="00A07C80" w:rsidP="00A07C80">
      <w:pPr>
        <w:ind w:firstLine="709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67045A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A07C80" w:rsidRPr="00862C6A" w:rsidRDefault="00A07C80" w:rsidP="00A07C80">
      <w:pPr>
        <w:pStyle w:val="1"/>
        <w:spacing w:before="0" w:line="240" w:lineRule="auto"/>
        <w:ind w:left="1250" w:right="1230"/>
        <w:jc w:val="center"/>
        <w:rPr>
          <w:rFonts w:ascii="Times New Roman" w:hAnsi="Times New Roman"/>
          <w:color w:val="auto"/>
          <w:sz w:val="24"/>
          <w:szCs w:val="24"/>
          <w:lang w:val="en-US"/>
        </w:rPr>
      </w:pPr>
      <w:r w:rsidRPr="00862C6A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Introduction</w:t>
      </w:r>
    </w:p>
    <w:p w:rsidR="00A07C80" w:rsidRPr="00507DFC" w:rsidRDefault="00A07C80" w:rsidP="00A07C80">
      <w:pPr>
        <w:pStyle w:val="a3"/>
        <w:spacing w:after="0" w:line="240" w:lineRule="auto"/>
        <w:ind w:left="236" w:right="209" w:firstLine="285"/>
        <w:jc w:val="both"/>
        <w:rPr>
          <w:rFonts w:ascii="Times New Roman" w:hAnsi="Times New Roman"/>
          <w:spacing w:val="-2"/>
          <w:sz w:val="24"/>
          <w:szCs w:val="24"/>
          <w:lang w:val="kk-KZ"/>
        </w:rPr>
      </w:pP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8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Based on the results of the training, in 15 weeks at the end, a final exam is held in the form of an </w:t>
      </w:r>
      <w:r w:rsidRPr="00534D8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  <w:lang w:val="en-US"/>
        </w:rPr>
        <w:t>oral exam</w:t>
      </w:r>
      <w:r w:rsidRPr="00D91DB5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  <w:t>.</w:t>
      </w:r>
      <w:r w:rsidRPr="008308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process of passing an oral exam by a student involves the automatic creation of an examination card, to which the student must answer orally by the examination committee. </w:t>
      </w:r>
      <w:r w:rsidRPr="00E912C0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During the oral examination, video recording is mandatory.</w:t>
      </w: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The </w:t>
      </w:r>
      <w:proofErr w:type="gramStart"/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exam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proofErr w:type="gramEnd"/>
      <w:r w:rsidRPr="0003098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E912C0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en-US"/>
        </w:rPr>
        <w:t>in the form of an oral exam on the ZOOM platform.</w:t>
      </w: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 exam format</w:t>
      </w:r>
      <w:r w:rsidRPr="0003098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is synchronous.</w:t>
      </w: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Tickets are generated automatically</w:t>
      </w:r>
    </w:p>
    <w:p w:rsidR="00A07C80" w:rsidRPr="0003098A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Number of questions in tickets – </w:t>
      </w:r>
      <w:r w:rsidRPr="0003098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 (1 question - 30 points, 2 question - 35 points, 3 question - 35 points).</w:t>
      </w:r>
    </w:p>
    <w:p w:rsidR="00A07C80" w:rsidRPr="00A07C80" w:rsidRDefault="00A07C80" w:rsidP="00A07C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</w:t>
      </w:r>
      <w:r w:rsidRPr="00A07C8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highest</w:t>
      </w:r>
      <w:r w:rsidRPr="00A07C8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09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score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098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</w:t>
      </w:r>
      <w:r w:rsidRPr="00A07C8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100.</w:t>
      </w:r>
    </w:p>
    <w:p w:rsidR="00A07C80" w:rsidRPr="0003098A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03098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Duration in time </w:t>
      </w:r>
      <w:r w:rsidRPr="0003098A">
        <w:rPr>
          <w:rFonts w:ascii="Times New Roman" w:eastAsia="Calibri" w:hAnsi="Times New Roman" w:cs="Times New Roman"/>
          <w:sz w:val="24"/>
          <w:szCs w:val="24"/>
          <w:lang w:val="en-US"/>
        </w:rPr>
        <w:t>- preparation time</w:t>
      </w:r>
      <w:r w:rsidRPr="0003098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03098A">
        <w:rPr>
          <w:rFonts w:ascii="Times New Roman" w:eastAsia="Calibri" w:hAnsi="Times New Roman" w:cs="Times New Roman"/>
          <w:sz w:val="24"/>
          <w:szCs w:val="24"/>
          <w:lang w:val="en-US"/>
        </w:rPr>
        <w:t>– 5-10 minutes, for answering all ticket questions - 15-20 minutes.</w:t>
      </w:r>
      <w:proofErr w:type="gramEnd"/>
    </w:p>
    <w:p w:rsidR="00A07C80" w:rsidRPr="0003098A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0309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 schedule -</w:t>
      </w:r>
      <w:r w:rsidRPr="000309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according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the schedule in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Univer</w:t>
      </w:r>
      <w:proofErr w:type="spellEnd"/>
      <w:r w:rsidRPr="000309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system.</w:t>
      </w:r>
      <w:proofErr w:type="gramEnd"/>
    </w:p>
    <w:p w:rsidR="00A07C80" w:rsidRPr="0038200C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8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Control of the exam.</w:t>
      </w:r>
      <w:proofErr w:type="gramEnd"/>
      <w:r w:rsidRPr="0038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8200C">
        <w:rPr>
          <w:rFonts w:ascii="Times New Roman" w:eastAsia="Calibri" w:hAnsi="Times New Roman" w:cs="Times New Roman"/>
          <w:sz w:val="24"/>
          <w:szCs w:val="24"/>
          <w:lang w:val="en-US"/>
        </w:rPr>
        <w:t>The teacher or the examination committee</w:t>
      </w:r>
    </w:p>
    <w:p w:rsidR="00A07C80" w:rsidRPr="0038200C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38200C">
        <w:rPr>
          <w:rFonts w:ascii="Times New Roman" w:eastAsia="Calibri" w:hAnsi="Times New Roman" w:cs="Times New Roman"/>
          <w:sz w:val="24"/>
          <w:szCs w:val="24"/>
          <w:lang w:val="en-US"/>
        </w:rPr>
        <w:t>makes a video recording of the exam,</w:t>
      </w:r>
    </w:p>
    <w:p w:rsidR="00A07C80" w:rsidRPr="0038200C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8200C">
        <w:rPr>
          <w:rFonts w:ascii="Times New Roman" w:eastAsia="Calibri" w:hAnsi="Times New Roman" w:cs="Times New Roman"/>
          <w:sz w:val="24"/>
          <w:szCs w:val="24"/>
          <w:lang w:val="en-US"/>
        </w:rPr>
        <w:t>- keeps a video recording of the exam for 3 months from the day of the end of the session.</w:t>
      </w:r>
      <w:proofErr w:type="gramEnd"/>
    </w:p>
    <w:p w:rsidR="00A07C80" w:rsidRPr="0038200C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E912C0"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val="en-US"/>
        </w:rPr>
        <w:t>The examinee must show on a video camera:</w:t>
      </w:r>
    </w:p>
    <w:p w:rsidR="00A07C80" w:rsidRPr="00931CB0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1C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31CB0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931C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identity document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National ID</w:t>
      </w:r>
      <w:r w:rsidRPr="00931C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passport. It is FORBIDDEN to take an ID-card exam);</w:t>
      </w:r>
    </w:p>
    <w:p w:rsidR="00A07C80" w:rsidRPr="00A83C11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83C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83C1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A83C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room in which he is located - there must be no strangers in the room, no ad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ditional sources of information</w:t>
      </w:r>
      <w:r w:rsidRPr="00A83C1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07C80" w:rsidRPr="00A83C11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7C80" w:rsidRPr="00332CB5" w:rsidRDefault="00A07C80" w:rsidP="00A07C8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32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Topics for which questions for the oral exam will be drawn up:</w:t>
      </w:r>
    </w:p>
    <w:p w:rsidR="00A07C80" w:rsidRPr="006D240B" w:rsidRDefault="00A07C80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kk-KZ" w:eastAsia="ar-SA"/>
        </w:rPr>
        <w:t xml:space="preserve">Theoretical Foundations </w:t>
      </w:r>
      <w:r w:rsidR="00D27733" w:rsidRPr="006D240B">
        <w:rPr>
          <w:rFonts w:ascii="Times New Roman" w:hAnsi="Times New Roman"/>
          <w:bCs/>
          <w:sz w:val="24"/>
          <w:szCs w:val="24"/>
          <w:lang w:val="en-US"/>
        </w:rPr>
        <w:t>Importance of</w:t>
      </w:r>
      <w:r w:rsidR="00D27733" w:rsidRPr="006D240B">
        <w:rPr>
          <w:rFonts w:ascii="Times New Roman" w:hAnsi="Times New Roman"/>
          <w:bCs/>
          <w:sz w:val="24"/>
          <w:szCs w:val="24"/>
          <w:lang w:val="kk-KZ" w:eastAsia="ar-SA"/>
        </w:rPr>
        <w:t xml:space="preserve"> </w:t>
      </w:r>
      <w:r w:rsidRPr="006D240B">
        <w:rPr>
          <w:rFonts w:ascii="Times New Roman" w:hAnsi="Times New Roman"/>
          <w:sz w:val="24"/>
          <w:szCs w:val="24"/>
          <w:lang w:val="en-US"/>
        </w:rPr>
        <w:t>international taxation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6D240B">
        <w:rPr>
          <w:rFonts w:ascii="Times New Roman" w:hAnsi="Times New Roman"/>
          <w:bCs/>
          <w:sz w:val="24"/>
          <w:szCs w:val="24"/>
          <w:lang w:val="kk-KZ"/>
        </w:rPr>
        <w:t xml:space="preserve">ssence and functions of </w:t>
      </w:r>
      <w:r w:rsidRPr="006D240B">
        <w:rPr>
          <w:rFonts w:ascii="Times New Roman" w:hAnsi="Times New Roman"/>
          <w:sz w:val="24"/>
          <w:szCs w:val="24"/>
          <w:lang w:val="en-US"/>
        </w:rPr>
        <w:t>international taxation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eastAsiaTheme="minorHAnsi" w:hAnsi="Times New Roman"/>
          <w:sz w:val="24"/>
          <w:szCs w:val="24"/>
          <w:lang w:val="en-US"/>
        </w:rPr>
        <w:t xml:space="preserve">History and Principles of </w:t>
      </w:r>
      <w:r w:rsidRPr="006D240B">
        <w:rPr>
          <w:rFonts w:ascii="Times New Roman" w:hAnsi="Times New Roman"/>
          <w:sz w:val="24"/>
          <w:szCs w:val="24"/>
          <w:lang w:val="en-US"/>
        </w:rPr>
        <w:t>international taxation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w w:val="110"/>
          <w:sz w:val="24"/>
          <w:szCs w:val="24"/>
          <w:highlight w:val="green"/>
          <w:lang w:val="en-US"/>
        </w:rPr>
      </w:pPr>
      <w:r w:rsidRPr="006D240B">
        <w:rPr>
          <w:rFonts w:ascii="Times New Roman" w:eastAsiaTheme="minorHAnsi" w:hAnsi="Times New Roman"/>
          <w:sz w:val="24"/>
          <w:szCs w:val="24"/>
          <w:lang w:val="en-US"/>
        </w:rPr>
        <w:t>Tax Treaty System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w w:val="110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Residency and Source of Income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  <w:highlight w:val="green"/>
          <w:lang w:val="en-US"/>
        </w:rPr>
      </w:pPr>
      <w:proofErr w:type="spellStart"/>
      <w:r w:rsidRPr="006D240B">
        <w:rPr>
          <w:rFonts w:ascii="Times New Roman" w:hAnsi="Times New Roman"/>
          <w:bCs/>
          <w:sz w:val="24"/>
          <w:szCs w:val="24"/>
        </w:rPr>
        <w:t>Taxation</w:t>
      </w:r>
      <w:proofErr w:type="spellEnd"/>
      <w:r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0B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0B">
        <w:rPr>
          <w:rFonts w:ascii="Times New Roman" w:hAnsi="Times New Roman"/>
          <w:bCs/>
          <w:sz w:val="24"/>
          <w:szCs w:val="24"/>
        </w:rPr>
        <w:t>Residents</w:t>
      </w:r>
      <w:proofErr w:type="spellEnd"/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proofErr w:type="spellStart"/>
      <w:r w:rsidRPr="006D240B">
        <w:rPr>
          <w:rFonts w:ascii="Times New Roman" w:hAnsi="Times New Roman"/>
          <w:bCs/>
          <w:sz w:val="24"/>
          <w:szCs w:val="24"/>
        </w:rPr>
        <w:t>Taxation</w:t>
      </w:r>
      <w:proofErr w:type="spellEnd"/>
      <w:r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0B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0B">
        <w:rPr>
          <w:rFonts w:ascii="Times New Roman" w:hAnsi="Times New Roman"/>
          <w:bCs/>
          <w:sz w:val="24"/>
          <w:szCs w:val="24"/>
        </w:rPr>
        <w:t>Nonresidents</w:t>
      </w:r>
      <w:proofErr w:type="spellEnd"/>
      <w:r w:rsidR="00A07C80" w:rsidRPr="006D240B"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  <w:t xml:space="preserve"> </w:t>
      </w:r>
    </w:p>
    <w:p w:rsidR="00A07C80" w:rsidRPr="006D240B" w:rsidRDefault="00D27733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Tax Treaty Issues Not Covered in Domestic Law</w:t>
      </w:r>
    </w:p>
    <w:p w:rsidR="006D240B" w:rsidRPr="006D240B" w:rsidRDefault="006D240B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proofErr w:type="spellStart"/>
      <w:r w:rsidRPr="006D240B">
        <w:rPr>
          <w:rFonts w:ascii="Times New Roman" w:hAnsi="Times New Roman"/>
          <w:iCs/>
          <w:sz w:val="24"/>
          <w:szCs w:val="24"/>
        </w:rPr>
        <w:t>Offshore</w:t>
      </w:r>
      <w:proofErr w:type="spellEnd"/>
      <w:r w:rsidRPr="006D24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D240B">
        <w:rPr>
          <w:rFonts w:ascii="Times New Roman" w:hAnsi="Times New Roman"/>
          <w:iCs/>
          <w:sz w:val="24"/>
          <w:szCs w:val="24"/>
        </w:rPr>
        <w:t>Finance</w:t>
      </w:r>
      <w:proofErr w:type="spellEnd"/>
    </w:p>
    <w:p w:rsidR="00A07C80" w:rsidRPr="006D240B" w:rsidRDefault="004F1421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T</w:t>
      </w:r>
      <w:r w:rsidR="006D240B" w:rsidRPr="006D240B">
        <w:rPr>
          <w:rFonts w:ascii="Times New Roman" w:hAnsi="Times New Roman"/>
          <w:bCs/>
          <w:sz w:val="24"/>
          <w:szCs w:val="24"/>
          <w:lang w:val="en-US"/>
        </w:rPr>
        <w:t xml:space="preserve">ax havens </w:t>
      </w:r>
    </w:p>
    <w:p w:rsidR="00A07C80" w:rsidRPr="006D240B" w:rsidRDefault="004F1421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proofErr w:type="spellStart"/>
      <w:r w:rsidRPr="006D240B">
        <w:rPr>
          <w:rFonts w:ascii="Times New Roman" w:hAnsi="Times New Roman"/>
          <w:bCs/>
          <w:sz w:val="24"/>
          <w:szCs w:val="24"/>
        </w:rPr>
        <w:t>A</w:t>
      </w:r>
      <w:r w:rsidR="006D240B" w:rsidRPr="006D240B">
        <w:rPr>
          <w:rFonts w:ascii="Times New Roman" w:hAnsi="Times New Roman"/>
          <w:bCs/>
          <w:sz w:val="24"/>
          <w:szCs w:val="24"/>
        </w:rPr>
        <w:t>nti­haven</w:t>
      </w:r>
      <w:proofErr w:type="spellEnd"/>
      <w:r w:rsidR="006D240B"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240B" w:rsidRPr="006D240B">
        <w:rPr>
          <w:rFonts w:ascii="Times New Roman" w:hAnsi="Times New Roman"/>
          <w:bCs/>
          <w:sz w:val="24"/>
          <w:szCs w:val="24"/>
        </w:rPr>
        <w:t>measures</w:t>
      </w:r>
      <w:proofErr w:type="spellEnd"/>
    </w:p>
    <w:p w:rsidR="00A07C80" w:rsidRPr="006D240B" w:rsidRDefault="004F1421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proofErr w:type="spellStart"/>
      <w:r w:rsidRPr="006D240B">
        <w:rPr>
          <w:rFonts w:ascii="Times New Roman" w:hAnsi="Times New Roman"/>
          <w:bCs/>
          <w:sz w:val="24"/>
          <w:szCs w:val="24"/>
        </w:rPr>
        <w:t>T</w:t>
      </w:r>
      <w:r w:rsidR="006D240B" w:rsidRPr="006D240B">
        <w:rPr>
          <w:rFonts w:ascii="Times New Roman" w:hAnsi="Times New Roman"/>
          <w:bCs/>
          <w:sz w:val="24"/>
          <w:szCs w:val="24"/>
        </w:rPr>
        <w:t>he</w:t>
      </w:r>
      <w:proofErr w:type="spellEnd"/>
      <w:r w:rsidR="006D240B"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240B" w:rsidRPr="006D240B">
        <w:rPr>
          <w:rFonts w:ascii="Times New Roman" w:hAnsi="Times New Roman"/>
          <w:bCs/>
          <w:sz w:val="24"/>
          <w:szCs w:val="24"/>
        </w:rPr>
        <w:t>transfer</w:t>
      </w:r>
      <w:proofErr w:type="spellEnd"/>
      <w:r w:rsidR="006D240B" w:rsidRPr="006D24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240B" w:rsidRPr="006D240B">
        <w:rPr>
          <w:rFonts w:ascii="Times New Roman" w:hAnsi="Times New Roman"/>
          <w:bCs/>
          <w:sz w:val="24"/>
          <w:szCs w:val="24"/>
        </w:rPr>
        <w:t>price</w:t>
      </w:r>
      <w:proofErr w:type="spellEnd"/>
    </w:p>
    <w:p w:rsidR="00A07C80" w:rsidRPr="006D240B" w:rsidRDefault="004F1421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T</w:t>
      </w:r>
      <w:r w:rsidR="006D240B" w:rsidRPr="006D240B">
        <w:rPr>
          <w:rFonts w:ascii="Times New Roman" w:hAnsi="Times New Roman"/>
          <w:bCs/>
          <w:sz w:val="24"/>
          <w:szCs w:val="24"/>
          <w:lang w:val="en-US"/>
        </w:rPr>
        <w:t>he worldwide unitary taxation controversy</w:t>
      </w:r>
    </w:p>
    <w:p w:rsidR="00A07C80" w:rsidRPr="006D240B" w:rsidRDefault="004F1421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T</w:t>
      </w:r>
      <w:r w:rsidR="006D240B" w:rsidRPr="006D240B">
        <w:rPr>
          <w:rFonts w:ascii="Times New Roman" w:hAnsi="Times New Roman"/>
          <w:bCs/>
          <w:sz w:val="24"/>
          <w:szCs w:val="24"/>
          <w:lang w:val="en-US"/>
        </w:rPr>
        <w:t>he internationalization of tax administration</w:t>
      </w:r>
    </w:p>
    <w:p w:rsidR="00A07C80" w:rsidRPr="006D240B" w:rsidRDefault="006D240B" w:rsidP="00A07C80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highlight w:val="green"/>
          <w:lang w:val="en-US"/>
        </w:rPr>
      </w:pPr>
      <w:r w:rsidRPr="006D240B">
        <w:rPr>
          <w:rFonts w:ascii="Times New Roman" w:hAnsi="Times New Roman"/>
          <w:bCs/>
          <w:sz w:val="24"/>
          <w:szCs w:val="24"/>
          <w:lang w:val="en-US"/>
        </w:rPr>
        <w:t>Global business and international fiscal law</w:t>
      </w:r>
    </w:p>
    <w:p w:rsidR="00A07C80" w:rsidRPr="006D240B" w:rsidRDefault="00A07C80" w:rsidP="00A07C80">
      <w:pPr>
        <w:ind w:left="708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A07C80" w:rsidRPr="00D93039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930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During the exam, students must be able to:</w:t>
      </w:r>
    </w:p>
    <w:p w:rsidR="00A07C80" w:rsidRPr="00805139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know the key drivers and metrics of </w:t>
      </w:r>
      <w:r w:rsidR="0053206F" w:rsidRPr="006D240B">
        <w:rPr>
          <w:rFonts w:ascii="Times New Roman" w:hAnsi="Times New Roman" w:cs="Times New Roman"/>
          <w:sz w:val="24"/>
          <w:szCs w:val="24"/>
          <w:lang w:val="en-US"/>
        </w:rPr>
        <w:t>international taxation</w:t>
      </w: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07C80" w:rsidRPr="00805139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identify key processes in </w:t>
      </w:r>
      <w:r w:rsidR="0053206F" w:rsidRPr="006D240B">
        <w:rPr>
          <w:rFonts w:ascii="Times New Roman" w:hAnsi="Times New Roman" w:cs="Times New Roman"/>
          <w:sz w:val="24"/>
          <w:szCs w:val="24"/>
          <w:lang w:val="en-US"/>
        </w:rPr>
        <w:t>international taxation</w:t>
      </w: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07C80" w:rsidRPr="00805139" w:rsidRDefault="00A07C80" w:rsidP="00A07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skills to formulate a value proposition</w:t>
      </w:r>
      <w:r w:rsidR="005320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3206F" w:rsidRPr="006D240B">
        <w:rPr>
          <w:rFonts w:ascii="Times New Roman" w:hAnsi="Times New Roman" w:cs="Times New Roman"/>
          <w:sz w:val="24"/>
          <w:szCs w:val="24"/>
          <w:lang w:val="en-US"/>
        </w:rPr>
        <w:t>international taxation</w:t>
      </w: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5320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C5512" w:rsidRDefault="00A07C80" w:rsidP="003C5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master the</w:t>
      </w:r>
      <w:r w:rsidR="005320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46A2D" w:rsidRPr="006D240B">
        <w:rPr>
          <w:rFonts w:ascii="Times New Roman" w:hAnsi="Times New Roman" w:cs="Times New Roman"/>
          <w:sz w:val="24"/>
          <w:szCs w:val="24"/>
          <w:lang w:val="en-US"/>
        </w:rPr>
        <w:t>Treaty System</w:t>
      </w:r>
      <w:r w:rsidR="00746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6A2D" w:rsidRPr="00746A2D">
        <w:rPr>
          <w:rFonts w:ascii="Times New Roman" w:hAnsi="Times New Roman" w:cs="Times New Roman"/>
          <w:bCs/>
          <w:sz w:val="24"/>
          <w:szCs w:val="24"/>
          <w:lang w:val="en-US"/>
        </w:rPr>
        <w:t>Taxation of Residents</w:t>
      </w:r>
      <w:r w:rsidR="00746A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Nonresidents, Offshore Finance and Tax Heavens</w:t>
      </w:r>
      <w:r w:rsidRPr="0080513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3C55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07C80" w:rsidRPr="00805139" w:rsidRDefault="00A07C80" w:rsidP="003C5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512">
        <w:rPr>
          <w:rFonts w:ascii="Times New Roman" w:hAnsi="Times New Roman"/>
          <w:sz w:val="24"/>
          <w:szCs w:val="24"/>
          <w:lang w:val="kk-KZ"/>
        </w:rPr>
        <w:t>-</w:t>
      </w:r>
      <w:r w:rsidRPr="003C5512">
        <w:rPr>
          <w:rFonts w:ascii="Times New Roman" w:hAnsi="Times New Roman"/>
          <w:sz w:val="24"/>
          <w:szCs w:val="24"/>
          <w:lang w:val="en-US"/>
        </w:rPr>
        <w:t xml:space="preserve"> to familiarize with</w:t>
      </w:r>
      <w:r w:rsidR="003C5512" w:rsidRPr="003C5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5512" w:rsidRPr="003C5512">
        <w:rPr>
          <w:rFonts w:ascii="Times New Roman" w:hAnsi="Times New Roman"/>
          <w:bCs/>
          <w:sz w:val="24"/>
          <w:szCs w:val="24"/>
          <w:lang w:val="en-US"/>
        </w:rPr>
        <w:t>Anti­haven</w:t>
      </w:r>
      <w:proofErr w:type="spellEnd"/>
      <w:r w:rsidR="003C5512" w:rsidRPr="003C5512">
        <w:rPr>
          <w:rFonts w:ascii="Times New Roman" w:hAnsi="Times New Roman"/>
          <w:bCs/>
          <w:sz w:val="24"/>
          <w:szCs w:val="24"/>
          <w:lang w:val="en-US"/>
        </w:rPr>
        <w:t xml:space="preserve"> measures, </w:t>
      </w:r>
      <w:r w:rsidRPr="003C5512">
        <w:rPr>
          <w:rFonts w:ascii="Times New Roman" w:hAnsi="Times New Roman"/>
          <w:sz w:val="24"/>
          <w:szCs w:val="24"/>
          <w:lang w:val="en-US"/>
        </w:rPr>
        <w:t xml:space="preserve">with the peculiarities of the functioning of the Kazakhstani </w:t>
      </w:r>
      <w:r w:rsidR="003C5512" w:rsidRPr="003C5512">
        <w:rPr>
          <w:rFonts w:ascii="Times New Roman" w:hAnsi="Times New Roman"/>
          <w:bCs/>
          <w:sz w:val="24"/>
          <w:szCs w:val="24"/>
          <w:lang w:val="en-US"/>
        </w:rPr>
        <w:t>transfer price</w:t>
      </w:r>
      <w:r w:rsidR="003C5512">
        <w:rPr>
          <w:rFonts w:ascii="Times New Roman" w:hAnsi="Times New Roman"/>
          <w:bCs/>
          <w:sz w:val="24"/>
          <w:szCs w:val="24"/>
          <w:lang w:val="en-US"/>
        </w:rPr>
        <w:t xml:space="preserve"> and</w:t>
      </w:r>
      <w:r w:rsidR="003C55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C5512" w:rsidRPr="006D240B">
        <w:rPr>
          <w:rFonts w:ascii="Times New Roman" w:hAnsi="Times New Roman"/>
          <w:bCs/>
          <w:sz w:val="24"/>
          <w:szCs w:val="24"/>
          <w:lang w:val="en-US"/>
        </w:rPr>
        <w:t>international fiscal law</w:t>
      </w:r>
      <w:r w:rsidR="003C5512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A07C80" w:rsidRPr="003C5512" w:rsidRDefault="00A07C80" w:rsidP="00A07C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07C80" w:rsidRPr="005018C3" w:rsidRDefault="00A07C80" w:rsidP="00A07C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18C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Program questions of the exam in the discipline "Digital Finance"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Give an explanation of the concept of value-added tax, by </w:t>
      </w:r>
      <w:proofErr w:type="spell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explaning</w:t>
      </w:r>
      <w:proofErr w:type="spell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of the object, subject, rates, and tax period.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Defining the classification of the tax, justify the economic essence of excise taxes.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Describe the stages of the tax system of the Republic of Kazakhstan, by the formation of development.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Disclose the special tax regime for small businesses in Kazakhstan, justifying by activity.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Give an explanation to the concept of corporate income tax by disclosing the </w:t>
      </w:r>
      <w:proofErr w:type="gram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its</w:t>
      </w:r>
      <w:proofErr w:type="gram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object, subject, rates and tax period.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>Identify the similarities and differences between individual income tax and corporate income tax by demonstrating the</w:t>
      </w: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process of calculating.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Clarify the concept of international tax planning in offshore business, by revealing their features.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Give an explanation of the adjustment of total annual income for corporate income tax, accompanied by an </w:t>
      </w:r>
      <w:proofErr w:type="spell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explanationof</w:t>
      </w:r>
      <w:proofErr w:type="spell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the reason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Categorize adjustment of total annual income for Individual Income Tax, accompanied by an explanation of the reason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Identify the main objectives of the export rent tax, justifying the implementation process.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Classify determination of VAT tax base by disclosing the specific type of relation.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Describe the concept of tax policy in Kazakhstan by explaining its goals.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Describe the process of calculating the amount of excise duty, disclosing by </w:t>
      </w:r>
      <w:proofErr w:type="gram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types .</w:t>
      </w:r>
      <w:proofErr w:type="gram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Figure out who is not entitled to apply a special tax regime for small businesses, by explaining the special tax regime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Describe the procedure for calculating by reasoning the tax period for excise taxes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6 Formulate the peculiarities of VAT refund, describing the peculiarities when exporting goods.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List the fixed assets that are not depreciated by explaining the essence.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What expenses are subject to within 3 percent of taxable </w:t>
      </w:r>
      <w:proofErr w:type="gram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income ,</w:t>
      </w:r>
      <w:proofErr w:type="gram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justify your answers.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Disclose the taxes and other obligatory payments paid by subsoil users and explain the difference between them.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Determine how the motor vehicle tax is calculated, giving an explanation of the influencing factors.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Justify the specific conditions for the payment of VAT, arguing the process of importing goods from the </w:t>
      </w:r>
      <w:proofErr w:type="spell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EurasianEconomic</w:t>
      </w:r>
      <w:proofErr w:type="spellEnd"/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Union.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Justify the tax explanation by interpreting tax functions.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Argue unpaid taxes, justifying on income of non-residents of the Republic of Kazakhstan.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Reveal the essence of taxation of imports of excisable goods, explaining the role in taxes.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Distinguish the tax systems of the Republic of Kazakhstan by comparing foreign countries.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Argue the exception in the special tax regime for small businesses, by explaining their essence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Interpret the calculation of the amount of advance payments for CIT, revealing the essence of CIT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1219CF" w:rsidRPr="001219CF" w:rsidRDefault="001219CF" w:rsidP="001219C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Classify individual income tax deductions, by explaining their essence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A07C80" w:rsidRPr="001219CF" w:rsidRDefault="001219CF" w:rsidP="001219CF">
      <w:pPr>
        <w:pStyle w:val="a5"/>
        <w:numPr>
          <w:ilvl w:val="0"/>
          <w:numId w:val="3"/>
        </w:numPr>
        <w:rPr>
          <w:rFonts w:ascii="Times New Roman" w:hAnsi="Times New Roman"/>
          <w:color w:val="1F497D" w:themeColor="text2"/>
          <w:sz w:val="24"/>
          <w:szCs w:val="24"/>
          <w:lang w:val="en-US"/>
        </w:rPr>
      </w:pPr>
      <w:r w:rsidRPr="001219CF">
        <w:rPr>
          <w:rFonts w:ascii="TimesNewRomanPSMT" w:hAnsi="TimesNewRomanPSMT" w:cs="TimesNewRomanPSMT"/>
          <w:sz w:val="24"/>
          <w:szCs w:val="24"/>
          <w:lang w:val="en-US"/>
        </w:rPr>
        <w:t xml:space="preserve"> Explain the procedure for final calculation and payment of the tax, through </w:t>
      </w:r>
      <w:proofErr w:type="spellStart"/>
      <w:r w:rsidRPr="001219CF">
        <w:rPr>
          <w:rFonts w:ascii="TimesNewRomanPSMT" w:hAnsi="TimesNewRomanPSMT" w:cs="TimesNewRomanPSMT"/>
          <w:sz w:val="24"/>
          <w:szCs w:val="24"/>
          <w:lang w:val="en-US"/>
        </w:rPr>
        <w:t>determi</w:t>
      </w:r>
      <w:proofErr w:type="spellEnd"/>
    </w:p>
    <w:p w:rsidR="00A07C80" w:rsidRPr="00742979" w:rsidRDefault="00A07C80" w:rsidP="00A07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19CF" w:rsidRDefault="001219CF" w:rsidP="00A0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19CF" w:rsidRDefault="001219CF" w:rsidP="00A0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19CF" w:rsidRDefault="001219CF" w:rsidP="00A0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07C80" w:rsidRPr="00C16C74" w:rsidRDefault="00A07C80" w:rsidP="00A0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16C74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Recommended study literature for exam preparation: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Message from the Head of State </w:t>
      </w:r>
      <w:proofErr w:type="spellStart"/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>Kassym-Jomart</w:t>
      </w:r>
      <w:proofErr w:type="spellEnd"/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>Tokayev</w:t>
      </w:r>
      <w:proofErr w:type="spellEnd"/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the people of Kazakhstan dated September 1, 2021 "The unity of the people and systemic reforms are a solid basis for the country's prosperity"</w:t>
      </w:r>
    </w:p>
    <w:p w:rsidR="00A07C80" w:rsidRPr="00132071" w:rsidRDefault="00A07C80" w:rsidP="003C55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7C80" w:rsidRDefault="00A07C80" w:rsidP="00A07C80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07C80" w:rsidRPr="00132071" w:rsidRDefault="00A07C80" w:rsidP="00A07C80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Internet sources: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http://www.minfin.gov.kz/ 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https://egov.kz 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https://digitalkz.kz 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https://forbes.kz/ </w:t>
      </w:r>
    </w:p>
    <w:p w:rsidR="00A07C80" w:rsidRPr="00132071" w:rsidRDefault="00A07C80" w:rsidP="00A07C80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  <w:r w:rsidRPr="00132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https://dfo.kz/ </w:t>
      </w:r>
    </w:p>
    <w:p w:rsidR="00A07C80" w:rsidRPr="00742979" w:rsidRDefault="00A07C80" w:rsidP="00A07C80">
      <w:pPr>
        <w:tabs>
          <w:tab w:val="left" w:pos="49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7C80" w:rsidRPr="00534689" w:rsidRDefault="00A07C80" w:rsidP="00A0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07C80" w:rsidRPr="00147E38" w:rsidRDefault="00A07C80" w:rsidP="00A07C80">
      <w:pPr>
        <w:pStyle w:val="1"/>
        <w:spacing w:before="0" w:line="240" w:lineRule="auto"/>
        <w:ind w:left="3346"/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47E38">
        <w:rPr>
          <w:rFonts w:ascii="Times New Roman" w:hAnsi="Times New Roman"/>
          <w:color w:val="auto"/>
          <w:sz w:val="24"/>
          <w:szCs w:val="24"/>
          <w:lang w:val="kk-KZ"/>
        </w:rPr>
        <w:t>4</w:t>
      </w:r>
      <w:r w:rsidRPr="00147E38">
        <w:rPr>
          <w:rFonts w:ascii="Times New Roman" w:hAnsi="Times New Roman"/>
          <w:color w:val="auto"/>
          <w:sz w:val="24"/>
          <w:szCs w:val="24"/>
          <w:lang w:val="en-US"/>
        </w:rPr>
        <w:t xml:space="preserve"> Evaluation policy</w:t>
      </w:r>
    </w:p>
    <w:p w:rsidR="00A07C80" w:rsidRPr="003A321C" w:rsidRDefault="00A07C80" w:rsidP="00A07C80">
      <w:pPr>
        <w:pStyle w:val="a3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47E38">
        <w:rPr>
          <w:rFonts w:ascii="Times New Roman" w:hAnsi="Times New Roman"/>
          <w:bCs/>
          <w:sz w:val="24"/>
          <w:szCs w:val="24"/>
          <w:lang w:val="en-US"/>
        </w:rPr>
        <w:t>The exam is graded on a 100-point scale (from 1 to 100 points). The assessment of the final control (examination grade) is subject to calculation for any value of the grade obtained at the examination stages, i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147E38"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147E38">
        <w:rPr>
          <w:rFonts w:ascii="Times New Roman" w:hAnsi="Times New Roman"/>
          <w:bCs/>
          <w:sz w:val="24"/>
          <w:szCs w:val="24"/>
          <w:lang w:val="en-US"/>
        </w:rPr>
        <w:t xml:space="preserve"> the student is allowed to pass the next stage of the exam, regardless of the score received at the previous stage. </w:t>
      </w:r>
    </w:p>
    <w:p w:rsidR="00A07C80" w:rsidRPr="00147E38" w:rsidRDefault="00A07C80" w:rsidP="00A0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A07C80" w:rsidRPr="00147E38" w:rsidRDefault="00A07C80" w:rsidP="00A07C8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07C80" w:rsidRPr="00D02779" w:rsidRDefault="00A07C80" w:rsidP="00A07C80">
      <w:pPr>
        <w:ind w:firstLine="709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281F66" w:rsidRPr="00A07C80" w:rsidRDefault="00281F66">
      <w:pPr>
        <w:rPr>
          <w:lang w:val="en-US"/>
        </w:rPr>
      </w:pPr>
    </w:p>
    <w:sectPr w:rsidR="00281F66" w:rsidRPr="00A0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896"/>
    <w:multiLevelType w:val="hybridMultilevel"/>
    <w:tmpl w:val="D5EC3F40"/>
    <w:lvl w:ilvl="0" w:tplc="F462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C57869"/>
    <w:multiLevelType w:val="hybridMultilevel"/>
    <w:tmpl w:val="38DC9ABC"/>
    <w:lvl w:ilvl="0" w:tplc="B7C809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47D2"/>
    <w:multiLevelType w:val="hybridMultilevel"/>
    <w:tmpl w:val="6DEE9B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3"/>
    <w:rsid w:val="00055F94"/>
    <w:rsid w:val="001219CF"/>
    <w:rsid w:val="00281F66"/>
    <w:rsid w:val="003C5512"/>
    <w:rsid w:val="004F1421"/>
    <w:rsid w:val="0053206F"/>
    <w:rsid w:val="006D240B"/>
    <w:rsid w:val="00746A2D"/>
    <w:rsid w:val="00752BFE"/>
    <w:rsid w:val="00A07C80"/>
    <w:rsid w:val="00BB7483"/>
    <w:rsid w:val="00D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80"/>
  </w:style>
  <w:style w:type="paragraph" w:styleId="1">
    <w:name w:val="heading 1"/>
    <w:basedOn w:val="a"/>
    <w:next w:val="a"/>
    <w:link w:val="10"/>
    <w:uiPriority w:val="9"/>
    <w:qFormat/>
    <w:rsid w:val="00A07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A07C8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C8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07C8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80"/>
  </w:style>
  <w:style w:type="paragraph" w:styleId="1">
    <w:name w:val="heading 1"/>
    <w:basedOn w:val="a"/>
    <w:next w:val="a"/>
    <w:link w:val="10"/>
    <w:uiPriority w:val="9"/>
    <w:qFormat/>
    <w:rsid w:val="00A07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A07C8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7C8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07C8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9</cp:revision>
  <dcterms:created xsi:type="dcterms:W3CDTF">2022-10-16T16:23:00Z</dcterms:created>
  <dcterms:modified xsi:type="dcterms:W3CDTF">2022-10-17T03:13:00Z</dcterms:modified>
</cp:coreProperties>
</file>